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</w:r>
    </w:p>
    <w:p>
      <w:pPr>
        <w:pStyle w:val="LOnormal"/>
        <w:ind w:left="0" w:right="0" w:hanging="0"/>
        <w:jc w:val="center"/>
        <w:rPr>
          <w:rFonts w:ascii="Embassy JS" w:hAnsi="Embassy JS" w:eastAsia="Embassy JS" w:cs="Embassy JS"/>
          <w:sz w:val="24"/>
          <w:szCs w:val="24"/>
        </w:rPr>
      </w:pPr>
      <w:r>
        <w:rPr>
          <w:rFonts w:eastAsia="Embassy JS" w:cs="Embassy JS" w:ascii="Embassy JS" w:hAnsi="Embassy JS"/>
          <w:sz w:val="24"/>
          <w:szCs w:val="24"/>
        </w:rPr>
      </w:r>
    </w:p>
    <w:p>
      <w:pPr>
        <w:pStyle w:val="LOnormal"/>
        <w:ind w:left="0" w:right="0" w:hanging="0"/>
        <w:jc w:val="center"/>
        <w:rPr/>
      </w:pPr>
      <w:r>
        <w:rPr>
          <w:rFonts w:eastAsia="Embassy JS" w:cs="Embassy JS" w:ascii="Embassy JS" w:hAnsi="Embassy JS"/>
          <w:i/>
          <w:sz w:val="40"/>
          <w:szCs w:val="40"/>
        </w:rPr>
        <w:t>The Tokyo Wine Society</w:t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/>
      </w:pPr>
      <w:r>
        <w:rPr>
          <w:b/>
          <w:i/>
          <w:sz w:val="32"/>
          <w:szCs w:val="32"/>
        </w:rPr>
        <w:t>English Sparkling</w:t>
      </w:r>
    </w:p>
    <w:p>
      <w:pPr>
        <w:pStyle w:val="LO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/>
      </w:pPr>
      <w:r>
        <w:rPr>
          <w:sz w:val="28"/>
          <w:szCs w:val="28"/>
        </w:rPr>
        <w:t>Jan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/>
      </w:pPr>
      <w:r>
        <w:rPr>
          <w:sz w:val="24"/>
          <w:szCs w:val="24"/>
        </w:rPr>
        <w:t>Wine List</w:t>
      </w:r>
    </w:p>
    <w:p>
      <w:pPr>
        <w:pStyle w:val="LOnormal"/>
        <w:tabs>
          <w:tab w:val="left" w:pos="720" w:leader="none"/>
        </w:tabs>
        <w:ind w:left="36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Onormal"/>
        <w:tabs>
          <w:tab w:val="left" w:pos="720" w:leader="none"/>
        </w:tabs>
        <w:ind w:left="0" w:right="0" w:hanging="0"/>
        <w:jc w:val="center"/>
        <w:rPr/>
      </w:pPr>
      <w:r>
        <w:rPr/>
        <w:br/>
      </w:r>
    </w:p>
    <w:p>
      <w:pPr>
        <w:pStyle w:val="LOnormal"/>
        <w:numPr>
          <w:ilvl w:val="0"/>
          <w:numId w:val="1"/>
        </w:numPr>
        <w:tabs>
          <w:tab w:val="left" w:pos="720" w:leader="none"/>
        </w:tabs>
        <w:jc w:val="center"/>
        <w:rPr/>
      </w:pPr>
      <w:r>
        <w:rPr>
          <w:sz w:val="28"/>
          <w:szCs w:val="28"/>
        </w:rPr>
        <w:t xml:space="preserve">Hambleton, </w:t>
      </w:r>
      <w:r>
        <w:rPr>
          <w:sz w:val="28"/>
          <w:szCs w:val="28"/>
        </w:rPr>
        <w:t>Classic Cuvee NV</w:t>
      </w:r>
      <w:r>
        <w:rPr>
          <w:sz w:val="24"/>
          <w:szCs w:val="24"/>
        </w:rPr>
        <w:br/>
        <w:t xml:space="preserve">12.00%, Chardonnay Pinot Noir Pinot Meunier, </w:t>
        <w:br/>
        <w:t xml:space="preserve">Hampshare UK -  </w:t>
      </w:r>
      <w:r>
        <w:rPr>
          <w:sz w:val="24"/>
          <w:szCs w:val="24"/>
        </w:rPr>
        <w:t>GBP60</w:t>
      </w:r>
    </w:p>
    <w:p>
      <w:pPr>
        <w:pStyle w:val="LOnormal"/>
        <w:numPr>
          <w:ilvl w:val="0"/>
          <w:numId w:val="0"/>
        </w:numPr>
        <w:tabs>
          <w:tab w:val="left" w:pos="720" w:leader="none"/>
        </w:tabs>
        <w:ind w:left="360" w:hanging="0"/>
        <w:jc w:val="center"/>
        <w:rPr/>
      </w:pPr>
      <w:r>
        <w:rPr>
          <w:sz w:val="24"/>
          <w:szCs w:val="24"/>
        </w:rPr>
        <w:br/>
      </w:r>
    </w:p>
    <w:p>
      <w:pPr>
        <w:pStyle w:val="LOnormal"/>
        <w:numPr>
          <w:ilvl w:val="0"/>
          <w:numId w:val="1"/>
        </w:numPr>
        <w:tabs>
          <w:tab w:val="left" w:pos="720" w:leader="none"/>
        </w:tabs>
        <w:jc w:val="center"/>
        <w:rPr/>
      </w:pPr>
      <w:r>
        <w:rPr>
          <w:sz w:val="28"/>
          <w:szCs w:val="28"/>
        </w:rPr>
        <w:t xml:space="preserve">Nyetimber </w:t>
      </w:r>
      <w:r>
        <w:rPr>
          <w:sz w:val="28"/>
          <w:szCs w:val="28"/>
        </w:rPr>
        <w:t>Classic Cuvee</w:t>
      </w:r>
      <w:r>
        <w:rPr>
          <w:sz w:val="24"/>
          <w:szCs w:val="24"/>
        </w:rPr>
        <w:br/>
        <w:t xml:space="preserve">12.0%, Chardonnay Pinot Noir Pinot Meunier, </w:t>
      </w:r>
      <w:r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5-10g/L, </w:t>
        <w:br/>
        <w:t xml:space="preserve">West Sussex&amp;Hampshare UK – </w:t>
      </w:r>
      <w:r>
        <w:rPr>
          <w:sz w:val="24"/>
          <w:szCs w:val="24"/>
        </w:rPr>
        <w:t>8,462¥</w:t>
      </w:r>
      <w:r>
        <w:rPr>
          <w:sz w:val="24"/>
          <w:szCs w:val="24"/>
        </w:rPr>
        <w:br/>
        <w:br/>
      </w:r>
    </w:p>
    <w:p>
      <w:pPr>
        <w:pStyle w:val="LOnormal"/>
        <w:numPr>
          <w:ilvl w:val="0"/>
          <w:numId w:val="1"/>
        </w:numPr>
        <w:tabs>
          <w:tab w:val="left" w:pos="720" w:leader="none"/>
        </w:tabs>
        <w:jc w:val="center"/>
        <w:rPr/>
      </w:pPr>
      <w:r>
        <w:rPr>
          <w:sz w:val="28"/>
          <w:szCs w:val="28"/>
        </w:rPr>
        <w:t xml:space="preserve">Chapel Down Brut </w:t>
      </w:r>
      <w:r>
        <w:rPr>
          <w:sz w:val="28"/>
          <w:szCs w:val="28"/>
        </w:rPr>
        <w:t>NV</w:t>
      </w:r>
      <w:r>
        <w:rPr>
          <w:sz w:val="24"/>
          <w:szCs w:val="24"/>
        </w:rPr>
        <w:br/>
        <w:t xml:space="preserve">12.0%, Pinot Noir Chardonnay Pinot Blanc Pinot Meunier, </w:t>
      </w:r>
      <w:r>
        <w:rPr>
          <w:sz w:val="24"/>
          <w:szCs w:val="24"/>
        </w:rPr>
        <w:t>8.</w:t>
      </w:r>
      <w:r>
        <w:rPr>
          <w:sz w:val="24"/>
          <w:szCs w:val="24"/>
        </w:rPr>
        <w:t>50</w:t>
      </w:r>
      <w:r>
        <w:rPr>
          <w:sz w:val="24"/>
          <w:szCs w:val="24"/>
        </w:rPr>
        <w:t xml:space="preserve">g/L, </w:t>
        <w:br/>
      </w:r>
      <w:r>
        <w:rPr>
          <w:sz w:val="24"/>
          <w:szCs w:val="24"/>
        </w:rPr>
        <w:t xml:space="preserve">Kent UK – </w:t>
      </w:r>
      <w:r>
        <w:rPr>
          <w:sz w:val="24"/>
          <w:szCs w:val="24"/>
        </w:rPr>
        <w:t>8,800¥</w:t>
      </w:r>
      <w:r>
        <w:rPr>
          <w:sz w:val="24"/>
          <w:szCs w:val="24"/>
        </w:rPr>
        <w:br/>
        <w:br/>
        <w:t xml:space="preserve">   </w:t>
      </w:r>
    </w:p>
    <w:p>
      <w:pPr>
        <w:pStyle w:val="LOnormal"/>
        <w:numPr>
          <w:ilvl w:val="0"/>
          <w:numId w:val="1"/>
        </w:numPr>
        <w:tabs>
          <w:tab w:val="left" w:pos="720" w:leader="none"/>
        </w:tabs>
        <w:jc w:val="center"/>
        <w:rPr/>
      </w:pPr>
      <w:r>
        <w:rPr>
          <w:sz w:val="28"/>
          <w:szCs w:val="28"/>
        </w:rPr>
        <w:t>C</w:t>
      </w:r>
      <w:r>
        <w:rPr>
          <w:sz w:val="28"/>
          <w:szCs w:val="28"/>
        </w:rPr>
        <w:t>ABRIZ 2016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12.5%, </w:t>
      </w:r>
      <w:r>
        <w:rPr>
          <w:sz w:val="24"/>
          <w:szCs w:val="24"/>
        </w:rPr>
        <w:t xml:space="preserve">Malvasia-Fina Bical Encruzado, </w:t>
      </w:r>
      <w:r>
        <w:rPr>
          <w:sz w:val="24"/>
          <w:szCs w:val="24"/>
        </w:rPr>
        <w:t xml:space="preserve">5.5g/L, </w:t>
        <w:br/>
        <w:t>P</w:t>
      </w:r>
      <w:r>
        <w:rPr>
          <w:sz w:val="24"/>
          <w:szCs w:val="24"/>
        </w:rPr>
        <w:t xml:space="preserve">ortugal – </w:t>
      </w:r>
      <w:r>
        <w:rPr>
          <w:sz w:val="24"/>
          <w:szCs w:val="24"/>
        </w:rPr>
        <w:t>4,620¥</w:t>
      </w:r>
      <w:r>
        <w:rPr>
          <w:sz w:val="24"/>
          <w:szCs w:val="24"/>
        </w:rPr>
        <w:br/>
        <w:br/>
      </w:r>
    </w:p>
    <w:p>
      <w:pPr>
        <w:pStyle w:val="LOnormal"/>
        <w:numPr>
          <w:ilvl w:val="0"/>
          <w:numId w:val="1"/>
        </w:numPr>
        <w:tabs>
          <w:tab w:val="left" w:pos="720" w:leader="none"/>
        </w:tabs>
        <w:jc w:val="center"/>
        <w:rPr/>
      </w:pPr>
      <w:r>
        <w:rPr>
          <w:sz w:val="28"/>
          <w:szCs w:val="28"/>
        </w:rPr>
        <w:t xml:space="preserve">Vallformosa </w:t>
      </w:r>
      <w:r>
        <w:rPr>
          <w:sz w:val="28"/>
          <w:szCs w:val="28"/>
        </w:rPr>
        <w:t>Origen Brut Reserva</w:t>
      </w:r>
      <w:r>
        <w:rPr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</w:rPr>
        <w:t>1,5%</w:t>
      </w:r>
      <w:r>
        <w:rPr>
          <w:sz w:val="24"/>
          <w:szCs w:val="24"/>
        </w:rPr>
        <w:t xml:space="preserve">, Macabeo Xarel·lo Parellada, </w:t>
        <w:br/>
      </w:r>
      <w:r>
        <w:rPr>
          <w:sz w:val="24"/>
          <w:szCs w:val="24"/>
        </w:rPr>
        <w:t xml:space="preserve">Penedes </w:t>
      </w:r>
      <w:r>
        <w:rPr>
          <w:sz w:val="24"/>
          <w:szCs w:val="24"/>
        </w:rPr>
        <w:t xml:space="preserve">Spain  </w:t>
      </w:r>
      <w:r>
        <w:rPr>
          <w:sz w:val="24"/>
          <w:szCs w:val="24"/>
        </w:rPr>
        <w:t>3,520¥</w:t>
        <w:br/>
      </w:r>
      <w:r>
        <w:rPr>
          <w:sz w:val="24"/>
          <w:szCs w:val="24"/>
        </w:rPr>
        <w:br/>
        <w:t xml:space="preserve">     </w:t>
      </w:r>
    </w:p>
    <w:p>
      <w:pPr>
        <w:pStyle w:val="LOnormal"/>
        <w:numPr>
          <w:ilvl w:val="0"/>
          <w:numId w:val="1"/>
        </w:numPr>
        <w:tabs>
          <w:tab w:val="left" w:pos="720" w:leader="none"/>
        </w:tabs>
        <w:jc w:val="center"/>
        <w:rPr/>
      </w:pPr>
      <w:r>
        <w:rPr>
          <w:sz w:val="28"/>
          <w:szCs w:val="28"/>
        </w:rPr>
        <w:t xml:space="preserve">PM Champagne    </w:t>
      </w:r>
      <w:r>
        <w:rPr>
          <w:sz w:val="24"/>
          <w:szCs w:val="24"/>
        </w:rPr>
        <w:br/>
        <w:t xml:space="preserve">Pinot Noir Chardonnay, Pinot Meunier, </w:t>
        <w:br/>
      </w:r>
      <w:r>
        <w:rPr>
          <w:sz w:val="24"/>
          <w:szCs w:val="24"/>
        </w:rPr>
        <w:t>Champagne France</w:t>
      </w: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7,150¥</w:t>
        <w:br/>
      </w:r>
      <w:r>
        <w:rPr>
          <w:sz w:val="24"/>
          <w:szCs w:val="24"/>
        </w:rPr>
        <w:br/>
      </w:r>
    </w:p>
    <w:p>
      <w:pPr>
        <w:pStyle w:val="LOnormal"/>
        <w:numPr>
          <w:ilvl w:val="0"/>
          <w:numId w:val="0"/>
        </w:numPr>
        <w:tabs>
          <w:tab w:val="left" w:pos="720" w:leader="none"/>
        </w:tabs>
        <w:ind w:left="360" w:hanging="0"/>
        <w:jc w:val="center"/>
        <w:rPr/>
      </w:pPr>
      <w:r>
        <w:rPr/>
        <w:br/>
      </w:r>
    </w:p>
    <w:p>
      <w:pPr>
        <w:pStyle w:val="LOnormal"/>
        <w:tabs>
          <w:tab w:val="left" w:pos="720" w:leader="none"/>
        </w:tabs>
        <w:ind w:left="720" w:right="0" w:hanging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uppressAutoHyphens w:val="false"/>
        <w:bidi w:val="0"/>
        <w:jc w:val="left"/>
        <w:rPr/>
      </w:pPr>
      <w:r>
        <w:rPr/>
        <w:t>Dinner Wines;</w:t>
      </w:r>
      <w:r>
        <w:rP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anumGothic">
    <w:charset w:val="01"/>
    <w:family w:val="roman"/>
    <w:pitch w:val="variable"/>
  </w:font>
  <w:font w:name="TakaoGothic"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Times New Roman">
    <w:charset w:val="01"/>
    <w:family w:val="roman"/>
    <w:pitch w:val="variable"/>
  </w:font>
  <w:font w:name="Embassy J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72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character" w:styleId="Instock">
    <w:name w:val="in-stock"/>
    <w:qFormat/>
    <w:rPr/>
  </w:style>
  <w:style w:type="character" w:styleId="Style14">
    <w:name w:val="番号付け記号"/>
    <w:qFormat/>
    <w:rPr>
      <w:vanish w:val="false"/>
      <w:sz w:val="20"/>
    </w:rPr>
  </w:style>
  <w:style w:type="character" w:styleId="HTML">
    <w:name w:val="HTML タイプライタ"/>
    <w:qFormat/>
    <w:rPr>
      <w:vanish w:val="false"/>
      <w:sz w:val="20"/>
    </w:rPr>
  </w:style>
  <w:style w:type="character" w:styleId="Style15">
    <w:name w:val="段落フォント"/>
    <w:qFormat/>
    <w:rPr>
      <w:vanish w:val="false"/>
      <w:sz w:val="20"/>
    </w:rPr>
  </w:style>
  <w:style w:type="character" w:styleId="WWAbsatzStandardschriftart1">
    <w:name w:val="WW-Absatz-Standardschriftart1"/>
    <w:qFormat/>
    <w:rPr>
      <w:vanish w:val="false"/>
      <w:sz w:val="20"/>
    </w:rPr>
  </w:style>
  <w:style w:type="character" w:styleId="WWAbsatzStandardschriftart">
    <w:name w:val="WW-Absatz-Standardschriftart"/>
    <w:qFormat/>
    <w:rPr>
      <w:vanish w:val="false"/>
      <w:sz w:val="20"/>
    </w:rPr>
  </w:style>
  <w:style w:type="character" w:styleId="AbsatzStandardschriftart">
    <w:name w:val="Absatz-Standardschriftart"/>
    <w:qFormat/>
    <w:rPr>
      <w:vanish w:val="false"/>
      <w:sz w:val="20"/>
    </w:rPr>
  </w:style>
  <w:style w:type="character" w:styleId="WW8Num2z8">
    <w:name w:val="WW8Num2z8"/>
    <w:qFormat/>
    <w:rPr>
      <w:vanish w:val="false"/>
      <w:sz w:val="20"/>
    </w:rPr>
  </w:style>
  <w:style w:type="character" w:styleId="WW8Num2z7">
    <w:name w:val="WW8Num2z7"/>
    <w:qFormat/>
    <w:rPr>
      <w:vanish w:val="false"/>
      <w:sz w:val="20"/>
    </w:rPr>
  </w:style>
  <w:style w:type="character" w:styleId="WW8Num2z6">
    <w:name w:val="WW8Num2z6"/>
    <w:qFormat/>
    <w:rPr>
      <w:vanish w:val="false"/>
      <w:sz w:val="20"/>
    </w:rPr>
  </w:style>
  <w:style w:type="character" w:styleId="WW8Num2z5">
    <w:name w:val="WW8Num2z5"/>
    <w:qFormat/>
    <w:rPr>
      <w:vanish w:val="false"/>
      <w:sz w:val="20"/>
    </w:rPr>
  </w:style>
  <w:style w:type="character" w:styleId="WW8Num2z4">
    <w:name w:val="WW8Num2z4"/>
    <w:qFormat/>
    <w:rPr>
      <w:vanish w:val="false"/>
      <w:sz w:val="20"/>
    </w:rPr>
  </w:style>
  <w:style w:type="character" w:styleId="WW8Num2z3">
    <w:name w:val="WW8Num2z3"/>
    <w:qFormat/>
    <w:rPr>
      <w:vanish w:val="false"/>
      <w:sz w:val="20"/>
    </w:rPr>
  </w:style>
  <w:style w:type="character" w:styleId="WW8Num2z2">
    <w:name w:val="WW8Num2z2"/>
    <w:qFormat/>
    <w:rPr>
      <w:vanish w:val="false"/>
      <w:sz w:val="20"/>
    </w:rPr>
  </w:style>
  <w:style w:type="character" w:styleId="WW8Num2z1">
    <w:name w:val="WW8Num2z1"/>
    <w:qFormat/>
    <w:rPr>
      <w:vanish w:val="false"/>
      <w:sz w:val="20"/>
    </w:rPr>
  </w:style>
  <w:style w:type="character" w:styleId="WW8Num2z0">
    <w:name w:val="WW8Num2z0"/>
    <w:qFormat/>
    <w:rPr>
      <w:vanish w:val="false"/>
      <w:sz w:val="20"/>
    </w:rPr>
  </w:style>
  <w:style w:type="character" w:styleId="WW8Num1z8">
    <w:name w:val="WW8Num1z8"/>
    <w:qFormat/>
    <w:rPr>
      <w:vanish w:val="false"/>
      <w:sz w:val="20"/>
    </w:rPr>
  </w:style>
  <w:style w:type="character" w:styleId="WW8Num1z7">
    <w:name w:val="WW8Num1z7"/>
    <w:qFormat/>
    <w:rPr>
      <w:vanish w:val="false"/>
      <w:sz w:val="20"/>
    </w:rPr>
  </w:style>
  <w:style w:type="character" w:styleId="WW8Num1z6">
    <w:name w:val="WW8Num1z6"/>
    <w:qFormat/>
    <w:rPr>
      <w:vanish w:val="false"/>
      <w:sz w:val="20"/>
    </w:rPr>
  </w:style>
  <w:style w:type="character" w:styleId="WW8Num1z5">
    <w:name w:val="WW8Num1z5"/>
    <w:qFormat/>
    <w:rPr>
      <w:vanish w:val="false"/>
      <w:sz w:val="20"/>
    </w:rPr>
  </w:style>
  <w:style w:type="character" w:styleId="WW8Num1z4">
    <w:name w:val="WW8Num1z4"/>
    <w:qFormat/>
    <w:rPr>
      <w:vanish w:val="false"/>
      <w:sz w:val="20"/>
    </w:rPr>
  </w:style>
  <w:style w:type="character" w:styleId="WW8Num1z3">
    <w:name w:val="WW8Num1z3"/>
    <w:qFormat/>
    <w:rPr>
      <w:vanish w:val="false"/>
      <w:sz w:val="20"/>
    </w:rPr>
  </w:style>
  <w:style w:type="character" w:styleId="WW8Num1z2">
    <w:name w:val="WW8Num1z2"/>
    <w:qFormat/>
    <w:rPr>
      <w:vanish w:val="false"/>
      <w:sz w:val="20"/>
    </w:rPr>
  </w:style>
  <w:style w:type="character" w:styleId="WW8Num1z1">
    <w:name w:val="WW8Num1z1"/>
    <w:qFormat/>
    <w:rPr>
      <w:vanish w:val="false"/>
      <w:sz w:val="20"/>
    </w:rPr>
  </w:style>
  <w:style w:type="character" w:styleId="WW8Num1z0">
    <w:name w:val="WW8Num1z0"/>
    <w:qFormat/>
    <w:rPr>
      <w:vanish w:val="false"/>
      <w:sz w:val="20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6">
    <w:name w:val="表の見出し"/>
    <w:qFormat/>
    <w:pPr>
      <w:widowControl w:val="false"/>
      <w:suppressAutoHyphens w:val="true"/>
      <w:bidi w:val="0"/>
      <w:spacing w:before="0" w:after="0"/>
      <w:ind w:firstLine="6656"/>
      <w:jc w:val="center"/>
    </w:pPr>
    <w:rPr>
      <w:rFonts w:ascii="NanumGothic" w:hAnsi="NanumGothic" w:eastAsia="0" w:cs="Liberation Serif"/>
      <w:color w:val="auto"/>
      <w:kern w:val="2"/>
      <w:sz w:val="20"/>
      <w:szCs w:val="20"/>
      <w:lang w:val="en-US" w:eastAsia="hi-IN" w:bidi="hi-IN"/>
    </w:rPr>
  </w:style>
  <w:style w:type="paragraph" w:styleId="Style17">
    <w:name w:val="表の内容"/>
    <w:qFormat/>
    <w:pPr>
      <w:widowControl/>
      <w:bidi w:val="0"/>
      <w:ind w:firstLine="6144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Style18">
    <w:name w:val="整形済みテキスト"/>
    <w:qFormat/>
    <w:pPr>
      <w:widowControl/>
      <w:bidi w:val="0"/>
      <w:ind w:firstLine="6144"/>
    </w:pPr>
    <w:rPr>
      <w:rFonts w:ascii="TakaoGothic" w:hAnsi="TakaoGothic" w:cs="TakaoGothic" w:eastAsia="Noto Serif CJK SC"/>
      <w:color w:val="auto"/>
      <w:kern w:val="2"/>
      <w:sz w:val="24"/>
      <w:szCs w:val="24"/>
      <w:lang w:val="en-US" w:eastAsia="zh-CN" w:bidi="hi-IN"/>
    </w:rPr>
  </w:style>
  <w:style w:type="paragraph" w:styleId="Style19">
    <w:name w:val="吹き出し"/>
    <w:qFormat/>
    <w:pPr>
      <w:widowControl/>
      <w:bidi w:val="0"/>
      <w:ind w:firstLine="6144"/>
    </w:pPr>
    <w:rPr>
      <w:rFonts w:ascii="Arial" w:hAnsi="Arial" w:cs="Arial" w:eastAsia="Noto Serif CJK SC"/>
      <w:color w:val="auto"/>
      <w:kern w:val="2"/>
      <w:sz w:val="24"/>
      <w:szCs w:val="24"/>
      <w:lang w:val="en-US" w:eastAsia="zh-CN" w:bidi="hi-IN"/>
    </w:rPr>
  </w:style>
  <w:style w:type="paragraph" w:styleId="HTMLBody">
    <w:name w:val="HTML Body"/>
    <w:qFormat/>
    <w:pPr>
      <w:widowControl w:val="false"/>
      <w:suppressAutoHyphens w:val="true"/>
      <w:bidi w:val="0"/>
      <w:spacing w:before="0" w:after="0"/>
      <w:ind w:firstLine="6144"/>
      <w:jc w:val="both"/>
    </w:pPr>
    <w:rPr>
      <w:rFonts w:ascii="MS Gothic" w:hAnsi="MS Gothic" w:eastAsia="0" w:cs="Liberation Serif"/>
      <w:color w:val="auto"/>
      <w:kern w:val="2"/>
      <w:sz w:val="20"/>
      <w:szCs w:val="20"/>
      <w:lang w:val="en-US" w:eastAsia="hi-IN" w:bidi="hi-IN"/>
    </w:rPr>
  </w:style>
  <w:style w:type="paragraph" w:styleId="Style20">
    <w:name w:val="日付"/>
    <w:qFormat/>
    <w:pPr>
      <w:widowControl/>
      <w:bidi w:val="0"/>
      <w:ind w:firstLine="6144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Style21">
    <w:name w:val="キャプション"/>
    <w:qFormat/>
    <w:pPr>
      <w:widowControl/>
      <w:bidi w:val="0"/>
      <w:spacing w:before="120" w:after="120"/>
      <w:ind w:firstLine="6656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Style22">
    <w:name w:val="索引"/>
    <w:qFormat/>
    <w:pPr>
      <w:widowControl/>
      <w:bidi w:val="0"/>
      <w:ind w:firstLine="6144"/>
    </w:pPr>
    <w:rPr>
      <w:rFonts w:eastAsia="MS Mincho" w:ascii="Liberation Serif" w:hAnsi="Liberation Serif" w:cs="Noto Sans Devanagari"/>
      <w:color w:val="auto"/>
      <w:kern w:val="2"/>
      <w:sz w:val="24"/>
      <w:szCs w:val="24"/>
      <w:lang w:val="en-US" w:eastAsia="zh-CN" w:bidi="hi-IN"/>
    </w:rPr>
  </w:style>
  <w:style w:type="paragraph" w:styleId="Style23">
    <w:name w:val="図表番号"/>
    <w:qFormat/>
    <w:pPr>
      <w:widowControl/>
      <w:bidi w:val="0"/>
      <w:spacing w:before="120" w:after="120"/>
      <w:ind w:firstLine="6656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Style24">
    <w:name w:val="見出し"/>
    <w:qFormat/>
    <w:pPr>
      <w:widowControl/>
      <w:bidi w:val="0"/>
      <w:spacing w:before="240" w:after="120"/>
      <w:ind w:firstLine="6144"/>
    </w:pPr>
    <w:rPr>
      <w:rFonts w:ascii="Arial" w:hAnsi="Arial" w:eastAsia="MS PGothic" w:cs="Noto Sans Devanagari"/>
      <w:color w:val="auto"/>
      <w:kern w:val="2"/>
      <w:sz w:val="24"/>
      <w:szCs w:val="24"/>
      <w:lang w:val="en-US" w:eastAsia="zh-CN" w:bidi="hi-I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ind w:firstLine="6144"/>
      <w:jc w:val="both"/>
    </w:pPr>
    <w:rPr>
      <w:rFonts w:ascii="Times New Roman" w:hAnsi="Times New Roman" w:eastAsia="Noto Sans Devanagari" w:cs="Times New Roman"/>
      <w:color w:val="auto"/>
      <w:kern w:val="2"/>
      <w:sz w:val="20"/>
      <w:szCs w:val="20"/>
      <w:lang w:val="en-US" w:eastAsia="hi-I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LibreOffice/7.0.4.2$Linux_X86_64 LibreOffice_project/00$Build-2</Application>
  <AppVersion>15.0000</AppVersion>
  <Pages>2</Pages>
  <Words>93</Words>
  <Characters>549</Characters>
  <CharactersWithSpaces>663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2023-01-21T15:54:00Z</dcterms:created>
  <dc:creator/>
  <dc:description/>
  <dc:language>en-US</dc:language>
  <cp:lastModifiedBy/>
  <dcterms:modified xsi:type="dcterms:W3CDTF">2023-01-22T10:36:40Z</dcterms:modified>
  <cp:revision>4</cp:revision>
  <dc:subject/>
  <dc:title/>
</cp:coreProperties>
</file>